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211958">
      <w:pPr>
        <w:jc w:val="both"/>
        <w:rPr>
          <w:rFonts w:ascii="Arial" w:eastAsia="Times New Roman" w:hAnsi="Arial" w:cs="Arial"/>
          <w:color w:val="000000"/>
          <w:sz w:val="24"/>
          <w:szCs w:val="24"/>
          <w:lang w:eastAsia="fr-BE"/>
        </w:rPr>
      </w:pP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Default="00332B77" w:rsidP="00D90584">
      <w:pPr>
        <w:spacing w:after="0"/>
        <w:ind w:left="425"/>
        <w:jc w:val="both"/>
        <w:rPr>
          <w:rFonts w:ascii="Arial" w:eastAsia="Times New Roman" w:hAnsi="Arial" w:cs="Arial"/>
          <w:color w:val="000000"/>
          <w:sz w:val="24"/>
          <w:szCs w:val="24"/>
          <w:lang w:eastAsia="fr-BE"/>
        </w:rPr>
      </w:pP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Default="00211958" w:rsidP="00211958">
      <w:pPr>
        <w:spacing w:after="0"/>
        <w:ind w:left="425"/>
        <w:jc w:val="both"/>
        <w:rPr>
          <w:rFonts w:ascii="Arial" w:eastAsia="Times New Roman" w:hAnsi="Arial" w:cs="Arial"/>
          <w:i/>
          <w:color w:val="00B05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w:t>
      </w:r>
      <w:proofErr w:type="gramStart"/>
      <w:r w:rsidRPr="00211958">
        <w:rPr>
          <w:rFonts w:ascii="Arial" w:eastAsia="Times New Roman" w:hAnsi="Arial" w:cs="Arial"/>
          <w:i/>
          <w:color w:val="00B050"/>
          <w:sz w:val="24"/>
          <w:szCs w:val="24"/>
          <w:lang w:eastAsia="fr-BE"/>
        </w:rPr>
        <w:t>arrêté</w:t>
      </w:r>
      <w:proofErr w:type="gramEnd"/>
      <w:r w:rsidRPr="00211958">
        <w:rPr>
          <w:rFonts w:ascii="Arial" w:eastAsia="Times New Roman" w:hAnsi="Arial" w:cs="Arial"/>
          <w:i/>
          <w:color w:val="00B050"/>
          <w:sz w:val="24"/>
          <w:szCs w:val="24"/>
          <w:lang w:eastAsia="fr-BE"/>
        </w:rPr>
        <w:t xml:space="preserve"> ministériel (AM) portant application de l’arrêté du Gouvernement wallon (AGW) relatif à la formation en apiculture,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211958" w:rsidTr="00211958">
        <w:trPr>
          <w:trHeight w:val="310"/>
        </w:trPr>
        <w:tc>
          <w:tcPr>
            <w:tcW w:w="8752" w:type="dxa"/>
          </w:tcPr>
          <w:p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spacing w:after="0"/>
        <w:ind w:left="425"/>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 terme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tblPr>
      <w:tblGrid>
        <w:gridCol w:w="8752"/>
      </w:tblGrid>
      <w:tr w:rsidR="00211958" w:rsidRPr="00156712" w:rsidTr="00211958">
        <w:trPr>
          <w:trHeight w:val="310"/>
        </w:trPr>
        <w:tc>
          <w:tcPr>
            <w:tcW w:w="8752" w:type="dxa"/>
          </w:tcPr>
          <w:p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rsidTr="00211958">
        <w:trPr>
          <w:trHeight w:val="4711"/>
        </w:trPr>
        <w:tc>
          <w:tcPr>
            <w:tcW w:w="8752" w:type="dxa"/>
          </w:tcPr>
          <w:p w:rsidR="00211958" w:rsidRPr="008A28DA" w:rsidRDefault="00211958" w:rsidP="00211958">
            <w:pPr>
              <w:jc w:val="both"/>
              <w:rPr>
                <w:rFonts w:ascii="Arial" w:eastAsia="Times New Roman" w:hAnsi="Arial" w:cs="Arial"/>
                <w:color w:val="000000"/>
                <w:lang w:eastAsia="fr-BE"/>
              </w:rPr>
            </w:pPr>
          </w:p>
        </w:tc>
      </w:tr>
    </w:tbl>
    <w:p w:rsidR="00211958" w:rsidRPr="00211958" w:rsidRDefault="00211958" w:rsidP="00211958">
      <w:pPr>
        <w:ind w:left="426"/>
        <w:jc w:val="both"/>
        <w:rPr>
          <w:rFonts w:ascii="Arial" w:eastAsia="Times New Roman" w:hAnsi="Arial" w:cs="Arial"/>
          <w:color w:val="000000"/>
          <w:sz w:val="24"/>
          <w:szCs w:val="24"/>
          <w:lang w:eastAsia="fr-BE"/>
        </w:rPr>
      </w:pPr>
    </w:p>
    <w:p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rsidR="00156712" w:rsidRDefault="00156712">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156712">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156712">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6201"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156712">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156712">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156712" w:rsidRDefault="00156712" w:rsidP="00156712">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156712" w:rsidRDefault="00156712" w:rsidP="00156712">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156712" w:rsidRDefault="00156712" w:rsidP="00156712">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rsidTr="00A779CD">
        <w:trPr>
          <w:trHeight w:val="835"/>
        </w:trPr>
        <w:tc>
          <w:tcPr>
            <w:tcW w:w="2835" w:type="dxa"/>
          </w:tcPr>
          <w:p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156712" w:rsidRPr="008A28DA" w:rsidRDefault="00156712" w:rsidP="00A779CD">
            <w:pPr>
              <w:spacing w:before="60" w:after="60"/>
              <w:jc w:val="both"/>
              <w:rPr>
                <w:rFonts w:ascii="Arial" w:eastAsia="Times New Roman" w:hAnsi="Arial" w:cs="Arial"/>
                <w:color w:val="000000"/>
                <w:lang w:eastAsia="fr-BE"/>
              </w:rPr>
            </w:pPr>
          </w:p>
        </w:tc>
      </w:tr>
    </w:tbl>
    <w:p w:rsidR="00156712" w:rsidRDefault="00156712" w:rsidP="00156712">
      <w:pPr>
        <w:spacing w:after="0"/>
        <w:ind w:left="425" w:hanging="425"/>
        <w:jc w:val="both"/>
        <w:rPr>
          <w:rFonts w:ascii="Arial" w:eastAsia="Times New Roman" w:hAnsi="Arial" w:cs="Arial"/>
          <w:color w:val="000000"/>
          <w:sz w:val="28"/>
          <w:szCs w:val="28"/>
          <w:lang w:eastAsia="fr-BE"/>
        </w:rPr>
      </w:pPr>
    </w:p>
    <w:p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156712" w:rsidRPr="00156712" w:rsidRDefault="00156712" w:rsidP="000C26D4">
      <w:pPr>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252"/>
        <w:gridCol w:w="1276"/>
      </w:tblGrid>
      <w:tr w:rsidR="00C503F4" w:rsidRPr="008A28DA" w:rsidTr="00156712">
        <w:tc>
          <w:tcPr>
            <w:tcW w:w="4252" w:type="dxa"/>
          </w:tcPr>
          <w:p w:rsidR="00C503F4" w:rsidRPr="008A28DA" w:rsidRDefault="00C503F4" w:rsidP="00156712">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156712" w:rsidRPr="00156712" w:rsidRDefault="00156712" w:rsidP="00455C48">
      <w:pPr>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110"/>
        <w:gridCol w:w="4536"/>
      </w:tblGrid>
      <w:tr w:rsidR="00DC5A48" w:rsidRPr="008A28DA" w:rsidTr="00DC5A48">
        <w:tc>
          <w:tcPr>
            <w:tcW w:w="4110" w:type="dxa"/>
          </w:tcPr>
          <w:p w:rsidR="00DC5A48" w:rsidRPr="008A28DA" w:rsidRDefault="00DC5A48" w:rsidP="00DC5A4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rsidR="00DC5A48" w:rsidRPr="008A28DA" w:rsidRDefault="00DC5A48" w:rsidP="00A779CD">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 xml:space="preserve">Du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au </w:t>
            </w:r>
            <w:proofErr w:type="spellStart"/>
            <w:r w:rsidRPr="008A28DA">
              <w:rPr>
                <w:rFonts w:ascii="Arial" w:eastAsia="Times New Roman" w:hAnsi="Arial" w:cs="Arial"/>
                <w:color w:val="000000"/>
                <w:lang w:eastAsia="fr-BE"/>
              </w:rPr>
              <w:t>jjmmaa</w:t>
            </w:r>
            <w:proofErr w:type="spellEnd"/>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rsidR="00C541D7"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8E431C">
        <w:rPr>
          <w:rFonts w:ascii="Arial" w:eastAsia="Times New Roman" w:hAnsi="Arial" w:cs="Arial"/>
          <w:color w:val="000000"/>
          <w:sz w:val="24"/>
          <w:szCs w:val="24"/>
          <w:lang w:eastAsia="fr-BE"/>
        </w:rPr>
        <w:t>2018</w:t>
      </w:r>
      <w:r w:rsidR="00F278E7" w:rsidRPr="008A28DA">
        <w:rPr>
          <w:rFonts w:ascii="Arial" w:eastAsia="Times New Roman" w:hAnsi="Arial" w:cs="Arial"/>
          <w:color w:val="000000"/>
          <w:sz w:val="24"/>
          <w:szCs w:val="24"/>
          <w:lang w:eastAsia="fr-BE"/>
        </w:rPr>
        <w:t>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8"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w:t>
      </w:r>
      <w:r w:rsidR="00535073" w:rsidRPr="008A28DA">
        <w:rPr>
          <w:rFonts w:ascii="Arial" w:eastAsia="Times New Roman" w:hAnsi="Arial" w:cs="Arial"/>
          <w:color w:val="000000"/>
          <w:sz w:val="24"/>
          <w:szCs w:val="24"/>
          <w:lang w:eastAsia="fr-BE"/>
        </w:rPr>
        <w:lastRenderedPageBreak/>
        <w:t xml:space="preserve">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DC5A48" w:rsidRDefault="00ED6B2C"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rsidR="00201EE6" w:rsidRPr="00DC5A48" w:rsidRDefault="00F278E7"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r w:rsidRPr="004054E8">
        <w:rPr>
          <w:rFonts w:ascii="Arial" w:eastAsia="Times New Roman" w:hAnsi="Arial" w:cs="Arial"/>
          <w:color w:val="FF0000"/>
          <w:sz w:val="24"/>
          <w:szCs w:val="24"/>
          <w:u w:val="single"/>
          <w:lang w:eastAsia="fr-BE"/>
        </w:rPr>
        <w:t>XXX</w:t>
      </w:r>
      <w:r w:rsidRPr="00114795">
        <w:rPr>
          <w:rFonts w:ascii="Arial" w:eastAsia="Times New Roman" w:hAnsi="Arial" w:cs="Arial"/>
          <w:sz w:val="24"/>
          <w:szCs w:val="24"/>
          <w:lang w:eastAsia="fr-BE"/>
        </w:rPr>
        <w:t>.</w:t>
      </w:r>
    </w:p>
    <w:p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 xml:space="preserve">_CV_x.docx » téléchargeable à l'adresse </w:t>
      </w:r>
      <w:hyperlink r:id="rId9"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3F7983" w:rsidRPr="008A28DA" w:rsidRDefault="008E431C" w:rsidP="003F798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rsidR="008E431C" w:rsidRDefault="008E431C" w:rsidP="008E431C">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tbl>
      <w:tblPr>
        <w:tblStyle w:val="Grilledutableau"/>
        <w:tblW w:w="0" w:type="auto"/>
        <w:tblInd w:w="534" w:type="dxa"/>
        <w:tblLook w:val="04A0"/>
      </w:tblPr>
      <w:tblGrid>
        <w:gridCol w:w="557"/>
        <w:gridCol w:w="5680"/>
        <w:gridCol w:w="708"/>
        <w:gridCol w:w="1418"/>
      </w:tblGrid>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rsidR="008E431C" w:rsidRDefault="008E431C"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rsidR="008E431C" w:rsidRPr="004054E8" w:rsidRDefault="008E431C" w:rsidP="008E431C">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rsidR="008E431C" w:rsidRPr="004054E8" w:rsidRDefault="008E431C" w:rsidP="008E431C">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rsidTr="008E431C">
        <w:tc>
          <w:tcPr>
            <w:tcW w:w="557" w:type="dxa"/>
            <w:tcBorders>
              <w:top w:val="single" w:sz="4" w:space="0" w:color="auto"/>
              <w:bottom w:val="single" w:sz="4" w:space="0" w:color="auto"/>
            </w:tcBorders>
          </w:tcPr>
          <w:p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rsidR="008E431C" w:rsidRPr="008A28DA" w:rsidRDefault="008E431C" w:rsidP="00311E04">
            <w:pPr>
              <w:spacing w:before="60" w:after="60"/>
              <w:jc w:val="both"/>
              <w:rPr>
                <w:rFonts w:ascii="Arial" w:eastAsia="Times New Roman" w:hAnsi="Arial" w:cs="Arial"/>
                <w:color w:val="000000"/>
                <w:lang w:eastAsia="fr-BE"/>
              </w:rPr>
            </w:pPr>
          </w:p>
        </w:tc>
      </w:tr>
    </w:tbl>
    <w:p w:rsidR="008E431C" w:rsidRDefault="008E431C" w:rsidP="00226655">
      <w:pPr>
        <w:ind w:left="426"/>
        <w:jc w:val="both"/>
        <w:rPr>
          <w:rFonts w:ascii="Arial" w:eastAsia="Times New Roman" w:hAnsi="Arial" w:cs="Arial"/>
          <w:i/>
          <w:color w:val="00B05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8E431C"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w:t>
      </w:r>
      <w:r w:rsidRPr="008A28DA">
        <w:rPr>
          <w:rFonts w:ascii="Arial" w:eastAsia="Times New Roman" w:hAnsi="Arial" w:cs="Arial"/>
          <w:i/>
          <w:color w:val="00B050"/>
          <w:sz w:val="24"/>
          <w:szCs w:val="24"/>
          <w:lang w:eastAsia="fr-BE"/>
        </w:rPr>
        <w:lastRenderedPageBreak/>
        <w:t>de l’administration et d’un avis favorable de l’administration. » (AGW, art. 18, § 1er).</w:t>
      </w:r>
    </w:p>
    <w:p w:rsidR="008E431C" w:rsidRDefault="008E431C" w:rsidP="00E745B1">
      <w:pPr>
        <w:spacing w:after="0"/>
        <w:ind w:left="425"/>
        <w:jc w:val="both"/>
        <w:rPr>
          <w:rFonts w:ascii="Arial" w:eastAsia="Times New Roman" w:hAnsi="Arial" w:cs="Arial"/>
          <w:i/>
          <w:color w:val="00B050"/>
          <w:sz w:val="24"/>
          <w:szCs w:val="24"/>
          <w:lang w:eastAsia="fr-BE"/>
        </w:rPr>
      </w:pPr>
    </w:p>
    <w:p w:rsidR="00E93258" w:rsidRPr="00D415A1" w:rsidRDefault="00D415A1" w:rsidP="00D415A1">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w:t>
      </w:r>
      <w:bookmarkStart w:id="1" w:name="_GoBack"/>
      <w:bookmarkEnd w:id="1"/>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tblPr>
      <w:tblGrid>
        <w:gridCol w:w="6803"/>
        <w:gridCol w:w="1949"/>
      </w:tblGrid>
      <w:tr w:rsidR="00A67FA4" w:rsidRPr="008A28DA" w:rsidTr="00D415A1">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D415A1">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D415A1">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D415A1" w:rsidRPr="00D415A1" w:rsidRDefault="00D415A1" w:rsidP="00D415A1">
      <w:pPr>
        <w:ind w:left="425"/>
        <w:jc w:val="both"/>
        <w:rPr>
          <w:rFonts w:ascii="Arial" w:eastAsia="Times New Roman" w:hAnsi="Arial" w:cs="Arial"/>
          <w:i/>
          <w:color w:val="00B050"/>
          <w:sz w:val="24"/>
          <w:szCs w:val="24"/>
          <w:lang w:eastAsia="fr-BE"/>
        </w:rPr>
      </w:pPr>
      <w:bookmarkStart w:id="2"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 « Les dépenses éligibles à une subvention octroyée pour l’organisation d’un cours de spécialisation sont les dépenses mentionnées à l’article 19, alinéa 1er, 1°, et 2°, a), b), c) et d).</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f)</w:t>
      </w:r>
      <w:r w:rsidRPr="00D415A1">
        <w:rPr>
          <w:rFonts w:ascii="Arial" w:eastAsia="Times New Roman" w:hAnsi="Arial" w:cs="Arial"/>
          <w:i/>
          <w:color w:val="00B050"/>
          <w:sz w:val="24"/>
          <w:szCs w:val="24"/>
          <w:lang w:eastAsia="fr-BE"/>
        </w:rPr>
        <w:tab/>
        <w:t>(...) ;</w:t>
      </w:r>
    </w:p>
    <w:p w:rsidR="00D415A1" w:rsidRPr="00D415A1" w:rsidRDefault="00D415A1" w:rsidP="00D415A1">
      <w:pPr>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rsidR="00C4692B" w:rsidRPr="008A28DA" w:rsidRDefault="00D415A1" w:rsidP="00D415A1">
      <w:pPr>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lastRenderedPageBreak/>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2"/>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8E431C" w:rsidRDefault="008E431C" w:rsidP="00C4692B">
      <w:pPr>
        <w:spacing w:after="0"/>
        <w:ind w:left="425"/>
        <w:jc w:val="both"/>
        <w:rPr>
          <w:rFonts w:ascii="Arial" w:eastAsia="Times New Roman" w:hAnsi="Arial" w:cs="Arial"/>
          <w:i/>
          <w:color w:val="00B050"/>
          <w:sz w:val="24"/>
          <w:szCs w:val="24"/>
          <w:lang w:eastAsia="fr-BE"/>
        </w:rPr>
      </w:pPr>
    </w:p>
    <w:p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C4692B" w:rsidRPr="008A28DA" w:rsidRDefault="00C4692B"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tblPr>
      <w:tblGrid>
        <w:gridCol w:w="6802"/>
        <w:gridCol w:w="1950"/>
      </w:tblGrid>
      <w:tr w:rsidR="00B820CB" w:rsidRPr="008A28DA" w:rsidTr="00211958">
        <w:tc>
          <w:tcPr>
            <w:tcW w:w="8754" w:type="dxa"/>
            <w:gridSpan w:val="2"/>
            <w:vAlign w:val="center"/>
          </w:tcPr>
          <w:p w:rsidR="00B820CB" w:rsidRPr="008A28DA" w:rsidRDefault="00B820CB" w:rsidP="0021195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rsidTr="00211958">
        <w:tc>
          <w:tcPr>
            <w:tcW w:w="6804" w:type="dxa"/>
            <w:vAlign w:val="center"/>
          </w:tcPr>
          <w:p w:rsidR="00B820CB" w:rsidRPr="008A28DA" w:rsidRDefault="00B820CB" w:rsidP="0021195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211958">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tblPr>
      <w:tblGrid>
        <w:gridCol w:w="2976"/>
        <w:gridCol w:w="1560"/>
      </w:tblGrid>
      <w:tr w:rsidR="00583FFF" w:rsidRPr="008A28DA" w:rsidTr="00D415A1">
        <w:tc>
          <w:tcPr>
            <w:tcW w:w="2976" w:type="dxa"/>
          </w:tcPr>
          <w:p w:rsidR="00583FFF" w:rsidRPr="008A28DA" w:rsidRDefault="00583FFF" w:rsidP="00D415A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rsidR="00583FFF" w:rsidRPr="008A28DA" w:rsidRDefault="00583FFF" w:rsidP="00211958">
            <w:pPr>
              <w:spacing w:before="60" w:after="60"/>
              <w:jc w:val="both"/>
              <w:rPr>
                <w:rFonts w:ascii="Arial" w:eastAsia="Times New Roman" w:hAnsi="Arial" w:cs="Arial"/>
                <w:color w:val="000000"/>
                <w:lang w:eastAsia="fr-BE"/>
              </w:rPr>
            </w:pPr>
          </w:p>
        </w:tc>
      </w:tr>
    </w:tbl>
    <w:p w:rsidR="008E431C" w:rsidRDefault="008E431C" w:rsidP="0097683F">
      <w:pPr>
        <w:ind w:left="426" w:hanging="426"/>
        <w:jc w:val="both"/>
        <w:rPr>
          <w:rFonts w:ascii="Arial" w:eastAsia="Times New Roman" w:hAnsi="Arial" w:cs="Arial"/>
          <w:color w:val="000000"/>
          <w:sz w:val="28"/>
          <w:szCs w:val="28"/>
          <w:lang w:eastAsia="fr-BE"/>
        </w:rPr>
      </w:pPr>
    </w:p>
    <w:p w:rsidR="008E431C" w:rsidRDefault="008E431C">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lastRenderedPageBreak/>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211958">
        <w:tc>
          <w:tcPr>
            <w:tcW w:w="3260" w:type="dxa"/>
          </w:tcPr>
          <w:p w:rsidR="0097683F" w:rsidRPr="008A28DA" w:rsidRDefault="0097683F" w:rsidP="0021195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211958">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211958">
        <w:tc>
          <w:tcPr>
            <w:tcW w:w="9210" w:type="dxa"/>
          </w:tcPr>
          <w:p w:rsidR="0097683F" w:rsidRPr="008A28DA" w:rsidRDefault="0097683F" w:rsidP="0021195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211958">
            <w:pPr>
              <w:jc w:val="both"/>
              <w:rPr>
                <w:rFonts w:ascii="Arial" w:eastAsia="Times New Roman" w:hAnsi="Arial" w:cs="Arial"/>
                <w:lang w:eastAsia="fr-BE"/>
              </w:rPr>
            </w:pPr>
          </w:p>
          <w:p w:rsidR="0097683F" w:rsidRPr="008A28DA" w:rsidRDefault="0097683F" w:rsidP="00211958">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0"/>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427" w:rsidRDefault="00607427" w:rsidP="000C26D4">
      <w:pPr>
        <w:spacing w:after="0" w:line="240" w:lineRule="auto"/>
      </w:pPr>
      <w:r>
        <w:separator/>
      </w:r>
    </w:p>
  </w:endnote>
  <w:endnote w:type="continuationSeparator" w:id="0">
    <w:p w:rsidR="00607427" w:rsidRDefault="00607427"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150B45" w:rsidRPr="00332B77">
      <w:rPr>
        <w:rFonts w:ascii="Arial" w:hAnsi="Arial" w:cs="Arial"/>
        <w:b/>
      </w:rPr>
      <w:fldChar w:fldCharType="begin"/>
    </w:r>
    <w:r w:rsidRPr="00332B77">
      <w:rPr>
        <w:rFonts w:ascii="Arial" w:hAnsi="Arial" w:cs="Arial"/>
        <w:b/>
      </w:rPr>
      <w:instrText xml:space="preserve"> PAGE   \* MERGEFORMAT </w:instrText>
    </w:r>
    <w:r w:rsidR="00150B45" w:rsidRPr="00332B77">
      <w:rPr>
        <w:rFonts w:ascii="Arial" w:hAnsi="Arial" w:cs="Arial"/>
        <w:b/>
      </w:rPr>
      <w:fldChar w:fldCharType="separate"/>
    </w:r>
    <w:r w:rsidR="00437293">
      <w:rPr>
        <w:rFonts w:ascii="Arial" w:hAnsi="Arial" w:cs="Arial"/>
        <w:b/>
        <w:noProof/>
      </w:rPr>
      <w:t>12</w:t>
    </w:r>
    <w:r w:rsidR="00150B45" w:rsidRPr="00332B77">
      <w:rPr>
        <w:rFonts w:ascii="Arial" w:hAnsi="Arial" w:cs="Arial"/>
        <w:b/>
      </w:rPr>
      <w:fldChar w:fldCharType="end"/>
    </w:r>
    <w:r w:rsidRPr="00332B77">
      <w:rPr>
        <w:rFonts w:ascii="Arial" w:hAnsi="Arial" w:cs="Arial"/>
        <w:b/>
      </w:rPr>
      <w:t xml:space="preserve"> /</w:t>
    </w:r>
    <w:fldSimple w:instr=" NUMPAGES  \* Arabic  \* MERGEFORMAT ">
      <w:r w:rsidR="00437293" w:rsidRPr="00437293">
        <w:rPr>
          <w:rFonts w:ascii="Arial" w:hAnsi="Arial" w:cs="Arial"/>
          <w:b/>
          <w:noProof/>
        </w:rPr>
        <w:t>17</w:t>
      </w:r>
    </w:fldSimple>
  </w:p>
  <w:p w:rsidR="00FB0319" w:rsidRDefault="00FB03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427" w:rsidRDefault="00607427" w:rsidP="000C26D4">
      <w:pPr>
        <w:spacing w:after="0" w:line="240" w:lineRule="auto"/>
      </w:pPr>
      <w:r>
        <w:separator/>
      </w:r>
    </w:p>
  </w:footnote>
  <w:footnote w:type="continuationSeparator" w:id="0">
    <w:p w:rsidR="00607427" w:rsidRDefault="00607427" w:rsidP="000C26D4">
      <w:pPr>
        <w:spacing w:after="0" w:line="240" w:lineRule="auto"/>
      </w:pPr>
      <w:r>
        <w:continuationSeparator/>
      </w:r>
    </w:p>
  </w:footnote>
  <w:footnote w:id="1">
    <w:p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D415A1" w:rsidRPr="00D415A1" w:rsidRDefault="00D415A1" w:rsidP="00D415A1">
      <w:pPr>
        <w:pStyle w:val="Notedebasdepage"/>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Jusqu’au 30/06/</w:t>
      </w:r>
      <w:r w:rsidR="008E431C">
        <w:rPr>
          <w:rFonts w:ascii="Arial" w:hAnsi="Arial" w:cs="Arial"/>
          <w:i/>
          <w:sz w:val="22"/>
          <w:szCs w:val="22"/>
        </w:rPr>
        <w:t>2018</w:t>
      </w:r>
      <w:r w:rsidRPr="00D415A1">
        <w:rPr>
          <w:rFonts w:ascii="Arial" w:hAnsi="Arial" w:cs="Arial"/>
          <w:i/>
          <w:sz w:val="22"/>
          <w:szCs w:val="22"/>
        </w:rPr>
        <w:t> : 0,35</w:t>
      </w:r>
      <w:r>
        <w:rPr>
          <w:rFonts w:ascii="Arial" w:hAnsi="Arial" w:cs="Arial"/>
          <w:i/>
          <w:sz w:val="22"/>
          <w:szCs w:val="22"/>
        </w:rPr>
        <w:t xml:space="preserve">95 </w:t>
      </w:r>
      <w:r w:rsidRPr="00D415A1">
        <w:rPr>
          <w:rFonts w:ascii="Arial" w:hAnsi="Arial" w:cs="Arial"/>
          <w:i/>
          <w:sz w:val="22"/>
          <w:szCs w:val="22"/>
        </w:rPr>
        <w:t>€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58" w:rsidRPr="008515A0" w:rsidRDefault="00211958"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8E431C">
      <w:rPr>
        <w:rFonts w:ascii="Arial" w:eastAsia="Times New Roman" w:hAnsi="Arial" w:cs="Arial"/>
        <w:color w:val="000000"/>
        <w:lang w:eastAsia="fr-BE"/>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C26D4"/>
    <w:rsid w:val="00024B8C"/>
    <w:rsid w:val="00044B69"/>
    <w:rsid w:val="0006496C"/>
    <w:rsid w:val="00073B69"/>
    <w:rsid w:val="000B1F16"/>
    <w:rsid w:val="000C26D4"/>
    <w:rsid w:val="000C379C"/>
    <w:rsid w:val="000F4376"/>
    <w:rsid w:val="000F483F"/>
    <w:rsid w:val="001101A6"/>
    <w:rsid w:val="001242FA"/>
    <w:rsid w:val="00150B45"/>
    <w:rsid w:val="00155BD5"/>
    <w:rsid w:val="001563A0"/>
    <w:rsid w:val="00156712"/>
    <w:rsid w:val="00164781"/>
    <w:rsid w:val="001778E4"/>
    <w:rsid w:val="001D1543"/>
    <w:rsid w:val="001D4593"/>
    <w:rsid w:val="00201EE6"/>
    <w:rsid w:val="00204FC0"/>
    <w:rsid w:val="00211958"/>
    <w:rsid w:val="0022222C"/>
    <w:rsid w:val="00226655"/>
    <w:rsid w:val="002A1968"/>
    <w:rsid w:val="002A7544"/>
    <w:rsid w:val="002B3F93"/>
    <w:rsid w:val="002B566C"/>
    <w:rsid w:val="002C29D7"/>
    <w:rsid w:val="002C7CF8"/>
    <w:rsid w:val="002D5B08"/>
    <w:rsid w:val="00332B77"/>
    <w:rsid w:val="00336550"/>
    <w:rsid w:val="00347F44"/>
    <w:rsid w:val="003525E5"/>
    <w:rsid w:val="00355415"/>
    <w:rsid w:val="00361F4B"/>
    <w:rsid w:val="00367972"/>
    <w:rsid w:val="00386A64"/>
    <w:rsid w:val="003B37ED"/>
    <w:rsid w:val="003C7E59"/>
    <w:rsid w:val="003E1C83"/>
    <w:rsid w:val="003E5CF6"/>
    <w:rsid w:val="003F7983"/>
    <w:rsid w:val="00437293"/>
    <w:rsid w:val="00455C48"/>
    <w:rsid w:val="00474166"/>
    <w:rsid w:val="00496D41"/>
    <w:rsid w:val="004B1A8E"/>
    <w:rsid w:val="004B255C"/>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F0393"/>
    <w:rsid w:val="0073795F"/>
    <w:rsid w:val="00741F9F"/>
    <w:rsid w:val="00762C8B"/>
    <w:rsid w:val="0079676E"/>
    <w:rsid w:val="007F6651"/>
    <w:rsid w:val="00802762"/>
    <w:rsid w:val="008515A0"/>
    <w:rsid w:val="0089234D"/>
    <w:rsid w:val="008A28DA"/>
    <w:rsid w:val="008B103E"/>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C24798"/>
    <w:rsid w:val="00C272C5"/>
    <w:rsid w:val="00C4692B"/>
    <w:rsid w:val="00C503F4"/>
    <w:rsid w:val="00C541D7"/>
    <w:rsid w:val="00C76F9D"/>
    <w:rsid w:val="00C92F10"/>
    <w:rsid w:val="00CB45AE"/>
    <w:rsid w:val="00CC2BAF"/>
    <w:rsid w:val="00CE5A5A"/>
    <w:rsid w:val="00D34025"/>
    <w:rsid w:val="00D415A1"/>
    <w:rsid w:val="00D5209D"/>
    <w:rsid w:val="00D5565C"/>
    <w:rsid w:val="00D65249"/>
    <w:rsid w:val="00D90584"/>
    <w:rsid w:val="00D91912"/>
    <w:rsid w:val="00D9723C"/>
    <w:rsid w:val="00DC5A48"/>
    <w:rsid w:val="00DF4578"/>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griculture.wallonie.be/apicul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agriculture.wallonie.be/apicul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6C44-E502-40C0-A892-E1DC3525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2363</Words>
  <Characters>13001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21</cp:revision>
  <cp:lastPrinted>2017-04-07T16:04:00Z</cp:lastPrinted>
  <dcterms:created xsi:type="dcterms:W3CDTF">2017-04-07T11:34:00Z</dcterms:created>
  <dcterms:modified xsi:type="dcterms:W3CDTF">2018-04-06T05:45:00Z</dcterms:modified>
</cp:coreProperties>
</file>